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75B7" w:rsidRPr="00FA0BEF" w:rsidRDefault="00C075B7" w:rsidP="00FA0BEF">
      <w:pPr>
        <w:spacing w:after="0" w:line="480" w:lineRule="auto"/>
        <w:rPr>
          <w:rFonts w:ascii="Times New Roman" w:hAnsi="Times New Roman" w:cs="Times New Roman"/>
          <w:sz w:val="24"/>
          <w:szCs w:val="24"/>
        </w:rPr>
      </w:pPr>
    </w:p>
    <w:p w:rsidR="00C075B7" w:rsidRPr="00FA0BEF" w:rsidRDefault="00C075B7" w:rsidP="00FA0BEF">
      <w:pPr>
        <w:spacing w:after="0" w:line="480" w:lineRule="auto"/>
        <w:rPr>
          <w:rFonts w:ascii="Times New Roman" w:hAnsi="Times New Roman" w:cs="Times New Roman"/>
          <w:sz w:val="24"/>
          <w:szCs w:val="24"/>
        </w:rPr>
      </w:pPr>
    </w:p>
    <w:p w:rsidR="00C075B7" w:rsidRPr="00FA0BEF" w:rsidRDefault="00C075B7" w:rsidP="00FA0BEF">
      <w:pPr>
        <w:spacing w:after="0" w:line="480" w:lineRule="auto"/>
        <w:rPr>
          <w:rFonts w:ascii="Times New Roman" w:hAnsi="Times New Roman" w:cs="Times New Roman"/>
          <w:sz w:val="24"/>
          <w:szCs w:val="24"/>
        </w:rPr>
      </w:pPr>
    </w:p>
    <w:p w:rsidR="00C075B7" w:rsidRPr="00FA0BEF" w:rsidRDefault="00C075B7" w:rsidP="00FA0BEF">
      <w:pPr>
        <w:spacing w:after="0" w:line="480" w:lineRule="auto"/>
        <w:rPr>
          <w:rFonts w:ascii="Times New Roman" w:hAnsi="Times New Roman" w:cs="Times New Roman"/>
          <w:sz w:val="24"/>
          <w:szCs w:val="24"/>
        </w:rPr>
      </w:pPr>
    </w:p>
    <w:p w:rsidR="00C075B7" w:rsidRPr="00FA0BEF" w:rsidRDefault="00C075B7" w:rsidP="00FA0BEF">
      <w:pPr>
        <w:spacing w:after="0" w:line="480" w:lineRule="auto"/>
        <w:rPr>
          <w:rFonts w:ascii="Times New Roman" w:hAnsi="Times New Roman" w:cs="Times New Roman"/>
          <w:sz w:val="24"/>
          <w:szCs w:val="24"/>
        </w:rPr>
      </w:pPr>
    </w:p>
    <w:p w:rsidR="00AE4DA4" w:rsidRPr="00FA0BEF" w:rsidRDefault="00AE4DA4" w:rsidP="00FA0BEF">
      <w:pPr>
        <w:spacing w:after="0" w:line="480" w:lineRule="auto"/>
        <w:rPr>
          <w:rFonts w:ascii="Times New Roman" w:hAnsi="Times New Roman" w:cs="Times New Roman"/>
          <w:sz w:val="24"/>
          <w:szCs w:val="24"/>
        </w:rPr>
      </w:pPr>
    </w:p>
    <w:p w:rsidR="00AE4DA4" w:rsidRPr="00FA0BEF" w:rsidRDefault="00AE4DA4" w:rsidP="00FA0BEF">
      <w:pPr>
        <w:spacing w:after="0" w:line="480" w:lineRule="auto"/>
        <w:rPr>
          <w:rFonts w:ascii="Times New Roman" w:hAnsi="Times New Roman" w:cs="Times New Roman"/>
          <w:sz w:val="24"/>
          <w:szCs w:val="24"/>
        </w:rPr>
      </w:pPr>
    </w:p>
    <w:p w:rsidR="00AE4DA4" w:rsidRPr="00FA0BEF" w:rsidRDefault="00AE4DA4" w:rsidP="00FA0BEF">
      <w:pPr>
        <w:spacing w:after="0" w:line="480" w:lineRule="auto"/>
        <w:rPr>
          <w:rFonts w:ascii="Times New Roman" w:hAnsi="Times New Roman" w:cs="Times New Roman"/>
          <w:sz w:val="24"/>
          <w:szCs w:val="24"/>
        </w:rPr>
      </w:pPr>
    </w:p>
    <w:p w:rsidR="00C075B7" w:rsidRPr="00FA0BEF" w:rsidRDefault="00C075B7" w:rsidP="00FA0BEF">
      <w:pPr>
        <w:spacing w:after="0" w:line="480" w:lineRule="auto"/>
        <w:rPr>
          <w:rFonts w:ascii="Times New Roman" w:hAnsi="Times New Roman" w:cs="Times New Roman"/>
          <w:sz w:val="24"/>
          <w:szCs w:val="24"/>
        </w:rPr>
      </w:pPr>
    </w:p>
    <w:p w:rsidR="00C075B7" w:rsidRPr="00FA0BEF" w:rsidRDefault="00AE4DA4" w:rsidP="00FA0BEF">
      <w:pPr>
        <w:spacing w:after="0" w:line="480" w:lineRule="auto"/>
        <w:jc w:val="center"/>
        <w:rPr>
          <w:rFonts w:ascii="Times New Roman" w:hAnsi="Times New Roman" w:cs="Times New Roman"/>
          <w:sz w:val="24"/>
          <w:szCs w:val="24"/>
        </w:rPr>
      </w:pPr>
      <w:r w:rsidRPr="00FA0BEF">
        <w:rPr>
          <w:rFonts w:ascii="Times New Roman" w:hAnsi="Times New Roman" w:cs="Times New Roman"/>
          <w:sz w:val="24"/>
          <w:szCs w:val="24"/>
        </w:rPr>
        <w:t>Comparison of Criminal Justice System between</w:t>
      </w:r>
      <w:r w:rsidR="00C075B7" w:rsidRPr="00FA0BEF">
        <w:rPr>
          <w:rFonts w:ascii="Times New Roman" w:hAnsi="Times New Roman" w:cs="Times New Roman"/>
          <w:sz w:val="24"/>
          <w:szCs w:val="24"/>
        </w:rPr>
        <w:t xml:space="preserve"> America and Sweden</w:t>
      </w:r>
    </w:p>
    <w:p w:rsidR="00C075B7" w:rsidRPr="00FA0BEF" w:rsidRDefault="00C075B7" w:rsidP="00FA0BEF">
      <w:pPr>
        <w:spacing w:after="0" w:line="480" w:lineRule="auto"/>
        <w:jc w:val="center"/>
        <w:rPr>
          <w:rFonts w:ascii="Times New Roman" w:hAnsi="Times New Roman" w:cs="Times New Roman"/>
          <w:sz w:val="24"/>
          <w:szCs w:val="24"/>
        </w:rPr>
      </w:pPr>
      <w:r w:rsidRPr="00FA0BEF">
        <w:rPr>
          <w:rFonts w:ascii="Times New Roman" w:hAnsi="Times New Roman" w:cs="Times New Roman"/>
          <w:sz w:val="24"/>
          <w:szCs w:val="24"/>
        </w:rPr>
        <w:t>Name of Student</w:t>
      </w:r>
    </w:p>
    <w:p w:rsidR="00C075B7" w:rsidRPr="00FA0BEF" w:rsidRDefault="00C075B7" w:rsidP="00FA0BEF">
      <w:pPr>
        <w:spacing w:after="0" w:line="480" w:lineRule="auto"/>
        <w:jc w:val="center"/>
        <w:rPr>
          <w:rFonts w:ascii="Times New Roman" w:hAnsi="Times New Roman" w:cs="Times New Roman"/>
          <w:sz w:val="24"/>
          <w:szCs w:val="24"/>
        </w:rPr>
      </w:pPr>
      <w:r w:rsidRPr="00FA0BEF">
        <w:rPr>
          <w:rFonts w:ascii="Times New Roman" w:hAnsi="Times New Roman" w:cs="Times New Roman"/>
          <w:sz w:val="24"/>
          <w:szCs w:val="24"/>
        </w:rPr>
        <w:t>Name of Institution</w:t>
      </w:r>
    </w:p>
    <w:p w:rsidR="00C075B7" w:rsidRPr="00FA0BEF" w:rsidRDefault="00C075B7" w:rsidP="00FA0BEF">
      <w:pPr>
        <w:spacing w:after="0" w:line="480" w:lineRule="auto"/>
        <w:jc w:val="center"/>
        <w:rPr>
          <w:rFonts w:ascii="Times New Roman" w:hAnsi="Times New Roman" w:cs="Times New Roman"/>
          <w:sz w:val="24"/>
          <w:szCs w:val="24"/>
        </w:rPr>
      </w:pPr>
      <w:r w:rsidRPr="00FA0BEF">
        <w:rPr>
          <w:rFonts w:ascii="Times New Roman" w:hAnsi="Times New Roman" w:cs="Times New Roman"/>
          <w:sz w:val="24"/>
          <w:szCs w:val="24"/>
        </w:rPr>
        <w:t xml:space="preserve">Date </w:t>
      </w:r>
      <w:r w:rsidRPr="00FA0BEF">
        <w:rPr>
          <w:rFonts w:ascii="Times New Roman" w:hAnsi="Times New Roman" w:cs="Times New Roman"/>
          <w:sz w:val="24"/>
          <w:szCs w:val="24"/>
        </w:rPr>
        <w:br w:type="page"/>
      </w:r>
    </w:p>
    <w:p w:rsidR="00944EDA" w:rsidRPr="00FA0BEF" w:rsidRDefault="00944EDA" w:rsidP="00FA0BEF">
      <w:pPr>
        <w:pStyle w:val="Heading1"/>
      </w:pPr>
      <w:r w:rsidRPr="00FA0BEF">
        <w:lastRenderedPageBreak/>
        <w:t>Abstract</w:t>
      </w:r>
    </w:p>
    <w:p w:rsidR="00944EDA" w:rsidRPr="00FA0BEF" w:rsidRDefault="00944EDA" w:rsidP="00FA0BEF">
      <w:pPr>
        <w:spacing w:line="480" w:lineRule="auto"/>
        <w:ind w:firstLine="720"/>
        <w:rPr>
          <w:rFonts w:ascii="Times New Roman" w:hAnsi="Times New Roman" w:cs="Times New Roman"/>
          <w:sz w:val="24"/>
          <w:szCs w:val="24"/>
        </w:rPr>
      </w:pPr>
      <w:r w:rsidRPr="00FA0BEF">
        <w:rPr>
          <w:rFonts w:ascii="Times New Roman" w:hAnsi="Times New Roman" w:cs="Times New Roman"/>
          <w:sz w:val="24"/>
          <w:szCs w:val="24"/>
        </w:rPr>
        <w:t xml:space="preserve">The criminal justice system has the prime mandate of regulation of all aspects of crime and criminal activity in a country. </w:t>
      </w:r>
      <w:r w:rsidR="008135E1" w:rsidRPr="00FA0BEF">
        <w:rPr>
          <w:rFonts w:ascii="Times New Roman" w:hAnsi="Times New Roman" w:cs="Times New Roman"/>
          <w:sz w:val="24"/>
          <w:szCs w:val="24"/>
        </w:rPr>
        <w:t xml:space="preserve">The system is represented by agencies distributed across individual systems within each government structure. The regulations and the procedures these individual bodies adopt define the criminal justice system of each government. Criminal and crime data in the United States and Sweden differ. The differences can be evaluated based on the individual systems. The paper will evaluate the differences within the systems of the two countries in the context of the correctional facilities, the court systems, and the police departments. </w:t>
      </w:r>
    </w:p>
    <w:p w:rsidR="00944EDA" w:rsidRPr="00FA0BEF" w:rsidRDefault="00944EDA" w:rsidP="00FA0BEF">
      <w:pPr>
        <w:spacing w:line="480" w:lineRule="auto"/>
        <w:rPr>
          <w:rFonts w:ascii="Times New Roman" w:hAnsi="Times New Roman" w:cs="Times New Roman"/>
          <w:sz w:val="24"/>
          <w:szCs w:val="24"/>
        </w:rPr>
      </w:pPr>
      <w:r w:rsidRPr="00FA0BEF">
        <w:rPr>
          <w:rFonts w:ascii="Times New Roman" w:hAnsi="Times New Roman" w:cs="Times New Roman"/>
          <w:sz w:val="24"/>
          <w:szCs w:val="24"/>
        </w:rPr>
        <w:br w:type="page"/>
      </w:r>
    </w:p>
    <w:p w:rsidR="00AE4DA4" w:rsidRPr="00FA0BEF" w:rsidRDefault="00AE4DA4" w:rsidP="00FA0BEF">
      <w:pPr>
        <w:pStyle w:val="Heading1"/>
      </w:pPr>
      <w:r w:rsidRPr="00FA0BEF">
        <w:lastRenderedPageBreak/>
        <w:t>Comparison of Criminal Justice System between America and Sweden</w:t>
      </w:r>
    </w:p>
    <w:p w:rsidR="00327924" w:rsidRDefault="00327924" w:rsidP="00FA0BEF">
      <w:pPr>
        <w:spacing w:after="0" w:line="480" w:lineRule="auto"/>
        <w:ind w:firstLine="720"/>
        <w:rPr>
          <w:rFonts w:ascii="Times New Roman" w:hAnsi="Times New Roman" w:cs="Times New Roman"/>
          <w:sz w:val="24"/>
          <w:szCs w:val="24"/>
        </w:rPr>
      </w:pPr>
      <w:r w:rsidRPr="00FA0BEF">
        <w:rPr>
          <w:rFonts w:ascii="Times New Roman" w:hAnsi="Times New Roman" w:cs="Times New Roman"/>
          <w:sz w:val="24"/>
          <w:szCs w:val="24"/>
        </w:rPr>
        <w:t>A criminal justice system is a critical element in efforts geared towards control of crime, and also in the imposition of penalties for those conducting unlawful activities. A series of procedures and agencies distributed across multiple individual systems in the United States provide a descriptive analysis of the system. The regulations and penalties stipulated in each jurisdiction provide different single arrangements. Under the criminal justice system in Sweden, the punishment for crimes is highly derivative of the proved seriousness of the crime. The details o</w:t>
      </w:r>
      <w:r w:rsidR="00944EDA" w:rsidRPr="00FA0BEF">
        <w:rPr>
          <w:rFonts w:ascii="Times New Roman" w:hAnsi="Times New Roman" w:cs="Times New Roman"/>
          <w:sz w:val="24"/>
          <w:szCs w:val="24"/>
        </w:rPr>
        <w:t>f</w:t>
      </w:r>
      <w:r w:rsidRPr="00FA0BEF">
        <w:rPr>
          <w:rFonts w:ascii="Times New Roman" w:hAnsi="Times New Roman" w:cs="Times New Roman"/>
          <w:sz w:val="24"/>
          <w:szCs w:val="24"/>
        </w:rPr>
        <w:t xml:space="preserve"> the criminal justice systems in the country are described under statu</w:t>
      </w:r>
      <w:r w:rsidR="00944EDA" w:rsidRPr="00FA0BEF">
        <w:rPr>
          <w:rFonts w:ascii="Times New Roman" w:hAnsi="Times New Roman" w:cs="Times New Roman"/>
          <w:sz w:val="24"/>
          <w:szCs w:val="24"/>
        </w:rPr>
        <w:t>t</w:t>
      </w:r>
      <w:r w:rsidRPr="00FA0BEF">
        <w:rPr>
          <w:rFonts w:ascii="Times New Roman" w:hAnsi="Times New Roman" w:cs="Times New Roman"/>
          <w:sz w:val="24"/>
          <w:szCs w:val="24"/>
        </w:rPr>
        <w:t xml:space="preserve">es for both criminal and procedural law, the judiciary, instrumental principles of procedures and criminal law, and enforcement of criminal justice. The criminal justice system for the two countries, Unites States and Sweden, differ in some elements, but in other they are similar. The paper serves as a comparison of criminal justice in the two nations. </w:t>
      </w:r>
    </w:p>
    <w:p w:rsidR="00FA0BEF" w:rsidRPr="00FA0BEF" w:rsidRDefault="00FA0BEF" w:rsidP="00FA0BEF">
      <w:pPr>
        <w:pStyle w:val="Heading1"/>
      </w:pPr>
      <w:r>
        <w:t>Police Department</w:t>
      </w:r>
    </w:p>
    <w:p w:rsidR="00327924" w:rsidRPr="00FA0BEF" w:rsidRDefault="00327924" w:rsidP="00FA0BEF">
      <w:pPr>
        <w:spacing w:after="0" w:line="480" w:lineRule="auto"/>
        <w:ind w:firstLine="720"/>
        <w:rPr>
          <w:rFonts w:ascii="Times New Roman" w:hAnsi="Times New Roman" w:cs="Times New Roman"/>
          <w:sz w:val="24"/>
          <w:szCs w:val="24"/>
        </w:rPr>
      </w:pPr>
      <w:r w:rsidRPr="00FA0BEF">
        <w:rPr>
          <w:rFonts w:ascii="Times New Roman" w:hAnsi="Times New Roman" w:cs="Times New Roman"/>
          <w:sz w:val="24"/>
          <w:szCs w:val="24"/>
        </w:rPr>
        <w:t xml:space="preserve">The statistics about crime, rates of recidivism, and correctional system form the three most crucial differences between the United States and Sweden criminal justice system. The differences highlighted were focused on the correctional systems, court systems, and police operations. The </w:t>
      </w:r>
      <w:r w:rsidR="00235318" w:rsidRPr="00FA0BEF">
        <w:rPr>
          <w:rFonts w:ascii="Times New Roman" w:hAnsi="Times New Roman" w:cs="Times New Roman"/>
          <w:sz w:val="24"/>
          <w:szCs w:val="24"/>
        </w:rPr>
        <w:t xml:space="preserve">statistics for </w:t>
      </w:r>
      <w:r w:rsidRPr="00FA0BEF">
        <w:rPr>
          <w:rFonts w:ascii="Times New Roman" w:hAnsi="Times New Roman" w:cs="Times New Roman"/>
          <w:sz w:val="24"/>
          <w:szCs w:val="24"/>
        </w:rPr>
        <w:t xml:space="preserve">assault rates on an officer, the goals set for policing, and the police to citizen ratio </w:t>
      </w:r>
      <w:r w:rsidR="00235318" w:rsidRPr="00FA0BEF">
        <w:rPr>
          <w:rFonts w:ascii="Times New Roman" w:hAnsi="Times New Roman" w:cs="Times New Roman"/>
          <w:sz w:val="24"/>
          <w:szCs w:val="24"/>
        </w:rPr>
        <w:t>are</w:t>
      </w:r>
      <w:r w:rsidRPr="00FA0BEF">
        <w:rPr>
          <w:rFonts w:ascii="Times New Roman" w:hAnsi="Times New Roman" w:cs="Times New Roman"/>
          <w:sz w:val="24"/>
          <w:szCs w:val="24"/>
        </w:rPr>
        <w:t xml:space="preserve"> similar to both nations</w:t>
      </w:r>
      <w:r w:rsidR="004D1FB2" w:rsidRPr="00FA0BEF">
        <w:rPr>
          <w:rFonts w:ascii="Times New Roman" w:hAnsi="Times New Roman" w:cs="Times New Roman"/>
          <w:sz w:val="24"/>
          <w:szCs w:val="24"/>
        </w:rPr>
        <w:t xml:space="preserve"> </w:t>
      </w:r>
      <w:sdt>
        <w:sdtPr>
          <w:rPr>
            <w:rFonts w:ascii="Times New Roman" w:hAnsi="Times New Roman" w:cs="Times New Roman"/>
            <w:sz w:val="24"/>
            <w:szCs w:val="24"/>
          </w:rPr>
          <w:id w:val="354419792"/>
          <w:citation/>
        </w:sdtPr>
        <w:sdtEndPr/>
        <w:sdtContent>
          <w:r w:rsidR="00DD1C37" w:rsidRPr="00FA0BEF">
            <w:rPr>
              <w:rFonts w:ascii="Times New Roman" w:hAnsi="Times New Roman" w:cs="Times New Roman"/>
              <w:sz w:val="24"/>
              <w:szCs w:val="24"/>
            </w:rPr>
            <w:fldChar w:fldCharType="begin"/>
          </w:r>
          <w:r w:rsidR="004D1FB2" w:rsidRPr="00FA0BEF">
            <w:rPr>
              <w:rFonts w:ascii="Times New Roman" w:hAnsi="Times New Roman" w:cs="Times New Roman"/>
              <w:sz w:val="24"/>
              <w:szCs w:val="24"/>
            </w:rPr>
            <w:instrText xml:space="preserve"> CITATION Hed18 \l 1033 </w:instrText>
          </w:r>
          <w:r w:rsidR="00DD1C37" w:rsidRPr="00FA0BEF">
            <w:rPr>
              <w:rFonts w:ascii="Times New Roman" w:hAnsi="Times New Roman" w:cs="Times New Roman"/>
              <w:sz w:val="24"/>
              <w:szCs w:val="24"/>
            </w:rPr>
            <w:fldChar w:fldCharType="separate"/>
          </w:r>
          <w:r w:rsidR="004D1FB2" w:rsidRPr="00FA0BEF">
            <w:rPr>
              <w:rFonts w:ascii="Times New Roman" w:hAnsi="Times New Roman" w:cs="Times New Roman"/>
              <w:noProof/>
              <w:sz w:val="24"/>
              <w:szCs w:val="24"/>
            </w:rPr>
            <w:t>(Hedstrom, 2018)</w:t>
          </w:r>
          <w:r w:rsidR="00DD1C37" w:rsidRPr="00FA0BEF">
            <w:rPr>
              <w:rFonts w:ascii="Times New Roman" w:hAnsi="Times New Roman" w:cs="Times New Roman"/>
              <w:sz w:val="24"/>
              <w:szCs w:val="24"/>
            </w:rPr>
            <w:fldChar w:fldCharType="end"/>
          </w:r>
        </w:sdtContent>
      </w:sdt>
      <w:r w:rsidRPr="00FA0BEF">
        <w:rPr>
          <w:rFonts w:ascii="Times New Roman" w:hAnsi="Times New Roman" w:cs="Times New Roman"/>
          <w:sz w:val="24"/>
          <w:szCs w:val="24"/>
        </w:rPr>
        <w:t>. However, the police academies of the two nations</w:t>
      </w:r>
      <w:r w:rsidR="004D1FB2" w:rsidRPr="00FA0BEF">
        <w:rPr>
          <w:rFonts w:ascii="Times New Roman" w:hAnsi="Times New Roman" w:cs="Times New Roman"/>
          <w:sz w:val="24"/>
          <w:szCs w:val="24"/>
        </w:rPr>
        <w:t xml:space="preserve"> </w:t>
      </w:r>
      <w:r w:rsidRPr="00FA0BEF">
        <w:rPr>
          <w:rFonts w:ascii="Times New Roman" w:hAnsi="Times New Roman" w:cs="Times New Roman"/>
          <w:sz w:val="24"/>
          <w:szCs w:val="24"/>
        </w:rPr>
        <w:t xml:space="preserve">are different. Sweden has stricter requirements in comparison with the United States; such as the length of training, which Sweden stipulates as 2 and a half years, in contrast with the 21 weeks specified for the United States. The period of training creates a rift in the expertise in terms of education and training. The concept of instruction manifests in how the </w:t>
      </w:r>
      <w:r w:rsidRPr="00FA0BEF">
        <w:rPr>
          <w:rFonts w:ascii="Times New Roman" w:hAnsi="Times New Roman" w:cs="Times New Roman"/>
          <w:sz w:val="24"/>
          <w:szCs w:val="24"/>
        </w:rPr>
        <w:lastRenderedPageBreak/>
        <w:t xml:space="preserve">police officers use firearms in both nations. The United States Police are more likely than the Swedish police to use or misuse their guns. </w:t>
      </w:r>
    </w:p>
    <w:p w:rsidR="008135E1" w:rsidRPr="00FA0BEF" w:rsidRDefault="008135E1" w:rsidP="00FA0BEF">
      <w:pPr>
        <w:pStyle w:val="Heading1"/>
      </w:pPr>
      <w:r w:rsidRPr="00FA0BEF">
        <w:t>Court Systems</w:t>
      </w:r>
    </w:p>
    <w:p w:rsidR="00327924" w:rsidRPr="00FA0BEF" w:rsidRDefault="00327924" w:rsidP="00FA0BEF">
      <w:pPr>
        <w:spacing w:after="0" w:line="480" w:lineRule="auto"/>
        <w:ind w:firstLine="720"/>
        <w:rPr>
          <w:rFonts w:ascii="Times New Roman" w:hAnsi="Times New Roman" w:cs="Times New Roman"/>
          <w:sz w:val="24"/>
          <w:szCs w:val="24"/>
        </w:rPr>
      </w:pPr>
      <w:r w:rsidRPr="00FA0BEF">
        <w:rPr>
          <w:rFonts w:ascii="Times New Roman" w:hAnsi="Times New Roman" w:cs="Times New Roman"/>
          <w:sz w:val="24"/>
          <w:szCs w:val="24"/>
        </w:rPr>
        <w:t xml:space="preserve">Organization of the court systems follows a similar structure in the United States and Sweden; with the Supreme Court holding the highest-ranking, Courts of Appeal, and District Courts. Another critical similarity is in the role of the legal actors; judges, </w:t>
      </w:r>
      <w:r w:rsidR="00311E42" w:rsidRPr="00FA0BEF">
        <w:rPr>
          <w:rFonts w:ascii="Times New Roman" w:hAnsi="Times New Roman" w:cs="Times New Roman"/>
          <w:sz w:val="24"/>
          <w:szCs w:val="24"/>
        </w:rPr>
        <w:t>defense</w:t>
      </w:r>
      <w:r w:rsidRPr="00FA0BEF">
        <w:rPr>
          <w:rFonts w:ascii="Times New Roman" w:hAnsi="Times New Roman" w:cs="Times New Roman"/>
          <w:sz w:val="24"/>
          <w:szCs w:val="24"/>
        </w:rPr>
        <w:t xml:space="preserve"> attorneys, and prosecutors, all of whom strive towards the achievement of justice fairly and equitably. Evident differences are seen in concepts of lay judges, juries, bail, and plea bargains. The Swedish judicial system, the guilt or innocence of the defendants, makes use of judges or lay, judges, unlike the juries implemented in the American courts. A jury panel is a select group of American civilians who are perceived to have equal standing, peers, with the defendant, randomly chosen from a list of registered voters. Lay judges of the other hand re</w:t>
      </w:r>
      <w:r w:rsidR="00944EDA" w:rsidRPr="00FA0BEF">
        <w:rPr>
          <w:rFonts w:ascii="Times New Roman" w:hAnsi="Times New Roman" w:cs="Times New Roman"/>
          <w:sz w:val="24"/>
          <w:szCs w:val="24"/>
        </w:rPr>
        <w:t>pre</w:t>
      </w:r>
      <w:r w:rsidRPr="00FA0BEF">
        <w:rPr>
          <w:rFonts w:ascii="Times New Roman" w:hAnsi="Times New Roman" w:cs="Times New Roman"/>
          <w:sz w:val="24"/>
          <w:szCs w:val="24"/>
        </w:rPr>
        <w:t xml:space="preserve">sent well-educated politicians whose appointment to such a position requires a municipal council. </w:t>
      </w:r>
    </w:p>
    <w:p w:rsidR="00A758B8" w:rsidRPr="00FA0BEF" w:rsidRDefault="00A758B8" w:rsidP="00FA0BEF">
      <w:pPr>
        <w:spacing w:after="0" w:line="480" w:lineRule="auto"/>
        <w:ind w:firstLine="720"/>
        <w:rPr>
          <w:rFonts w:ascii="Times New Roman" w:hAnsi="Times New Roman" w:cs="Times New Roman"/>
          <w:sz w:val="24"/>
          <w:szCs w:val="24"/>
        </w:rPr>
      </w:pPr>
      <w:r w:rsidRPr="00FA0BEF">
        <w:rPr>
          <w:rFonts w:ascii="Times New Roman" w:hAnsi="Times New Roman" w:cs="Times New Roman"/>
          <w:sz w:val="24"/>
          <w:szCs w:val="24"/>
        </w:rPr>
        <w:t>The</w:t>
      </w:r>
      <w:r w:rsidR="00944EDA" w:rsidRPr="00FA0BEF">
        <w:rPr>
          <w:rFonts w:ascii="Times New Roman" w:hAnsi="Times New Roman" w:cs="Times New Roman"/>
          <w:sz w:val="24"/>
          <w:szCs w:val="24"/>
        </w:rPr>
        <w:t xml:space="preserve"> Swedish</w:t>
      </w:r>
      <w:r w:rsidRPr="00FA0BEF">
        <w:rPr>
          <w:rFonts w:ascii="Times New Roman" w:hAnsi="Times New Roman" w:cs="Times New Roman"/>
          <w:sz w:val="24"/>
          <w:szCs w:val="24"/>
        </w:rPr>
        <w:t xml:space="preserve"> court systems also do not make use of plea bargains or bail within the hearing proceedings. The plea bargain in America is used to allow accused criminals to attend their hearings without detained. The bond does not consider the living situation of the accused. The consideration of the charge aid against the accused dete</w:t>
      </w:r>
      <w:r w:rsidR="00AE4DA4" w:rsidRPr="00FA0BEF">
        <w:rPr>
          <w:rFonts w:ascii="Times New Roman" w:hAnsi="Times New Roman" w:cs="Times New Roman"/>
          <w:sz w:val="24"/>
          <w:szCs w:val="24"/>
        </w:rPr>
        <w:t>r</w:t>
      </w:r>
      <w:r w:rsidRPr="00FA0BEF">
        <w:rPr>
          <w:rFonts w:ascii="Times New Roman" w:hAnsi="Times New Roman" w:cs="Times New Roman"/>
          <w:sz w:val="24"/>
          <w:szCs w:val="24"/>
        </w:rPr>
        <w:t>mines the bail</w:t>
      </w:r>
      <w:r w:rsidR="004D1FB2" w:rsidRPr="00FA0BEF">
        <w:rPr>
          <w:rFonts w:ascii="Times New Roman" w:hAnsi="Times New Roman" w:cs="Times New Roman"/>
          <w:sz w:val="24"/>
          <w:szCs w:val="24"/>
        </w:rPr>
        <w:t xml:space="preserve"> </w:t>
      </w:r>
      <w:sdt>
        <w:sdtPr>
          <w:rPr>
            <w:rFonts w:ascii="Times New Roman" w:hAnsi="Times New Roman" w:cs="Times New Roman"/>
            <w:sz w:val="24"/>
            <w:szCs w:val="24"/>
          </w:rPr>
          <w:id w:val="354419791"/>
          <w:citation/>
        </w:sdtPr>
        <w:sdtEndPr/>
        <w:sdtContent>
          <w:r w:rsidR="00DD1C37" w:rsidRPr="00FA0BEF">
            <w:rPr>
              <w:rFonts w:ascii="Times New Roman" w:hAnsi="Times New Roman" w:cs="Times New Roman"/>
              <w:sz w:val="24"/>
              <w:szCs w:val="24"/>
            </w:rPr>
            <w:fldChar w:fldCharType="begin"/>
          </w:r>
          <w:r w:rsidR="004D1FB2" w:rsidRPr="00FA0BEF">
            <w:rPr>
              <w:rFonts w:ascii="Times New Roman" w:hAnsi="Times New Roman" w:cs="Times New Roman"/>
              <w:sz w:val="24"/>
              <w:szCs w:val="24"/>
            </w:rPr>
            <w:instrText xml:space="preserve"> CITATION Gre131 \l 1033 </w:instrText>
          </w:r>
          <w:r w:rsidR="00DD1C37" w:rsidRPr="00FA0BEF">
            <w:rPr>
              <w:rFonts w:ascii="Times New Roman" w:hAnsi="Times New Roman" w:cs="Times New Roman"/>
              <w:sz w:val="24"/>
              <w:szCs w:val="24"/>
            </w:rPr>
            <w:fldChar w:fldCharType="separate"/>
          </w:r>
          <w:r w:rsidR="004D1FB2" w:rsidRPr="00FA0BEF">
            <w:rPr>
              <w:rFonts w:ascii="Times New Roman" w:hAnsi="Times New Roman" w:cs="Times New Roman"/>
              <w:noProof/>
              <w:sz w:val="24"/>
              <w:szCs w:val="24"/>
            </w:rPr>
            <w:t>(Green, 2013)</w:t>
          </w:r>
          <w:r w:rsidR="00DD1C37" w:rsidRPr="00FA0BEF">
            <w:rPr>
              <w:rFonts w:ascii="Times New Roman" w:hAnsi="Times New Roman" w:cs="Times New Roman"/>
              <w:sz w:val="24"/>
              <w:szCs w:val="24"/>
            </w:rPr>
            <w:fldChar w:fldCharType="end"/>
          </w:r>
        </w:sdtContent>
      </w:sdt>
      <w:r w:rsidRPr="00FA0BEF">
        <w:rPr>
          <w:rFonts w:ascii="Times New Roman" w:hAnsi="Times New Roman" w:cs="Times New Roman"/>
          <w:sz w:val="24"/>
          <w:szCs w:val="24"/>
        </w:rPr>
        <w:t xml:space="preserve">. In Sweden, the detaining of the accused takes account of the crime committed with reasonable regard, but no bail arrangement exists. The threat to flee, threat to destroy evidence or chance to continue committing crimes are arguments used to detain suspects whose punishment can accumulate more than one year in prison. Skipping hearing leads to fines for the suspects. Plea bargains are an acceptable form of punishment in the United States where the suspects agree to charges with the possibility of a less harsh sentence. Since the plea bargains eliminate the </w:t>
      </w:r>
      <w:r w:rsidRPr="00FA0BEF">
        <w:rPr>
          <w:rFonts w:ascii="Times New Roman" w:hAnsi="Times New Roman" w:cs="Times New Roman"/>
          <w:sz w:val="24"/>
          <w:szCs w:val="24"/>
        </w:rPr>
        <w:lastRenderedPageBreak/>
        <w:t xml:space="preserve">process of trial, prosecutors can implement such strategies to ease their workload or a money-making scheme at the cost of the defendant. Swedish courts plea bargains do not exist, and all courts have to go through a trial. </w:t>
      </w:r>
    </w:p>
    <w:p w:rsidR="00A758B8" w:rsidRPr="00FA0BEF" w:rsidRDefault="00A758B8" w:rsidP="00FA0BEF">
      <w:pPr>
        <w:spacing w:after="0" w:line="480" w:lineRule="auto"/>
        <w:ind w:firstLine="720"/>
        <w:rPr>
          <w:rFonts w:ascii="Times New Roman" w:hAnsi="Times New Roman" w:cs="Times New Roman"/>
          <w:sz w:val="24"/>
          <w:szCs w:val="24"/>
        </w:rPr>
      </w:pPr>
      <w:r w:rsidRPr="00FA0BEF">
        <w:rPr>
          <w:rFonts w:ascii="Times New Roman" w:hAnsi="Times New Roman" w:cs="Times New Roman"/>
          <w:sz w:val="24"/>
          <w:szCs w:val="24"/>
        </w:rPr>
        <w:t>In term of the duration of training for the legal actors, those in Sweden receive longer educational term and training in comparison to those in the United States</w:t>
      </w:r>
      <w:r w:rsidR="004D1FB2" w:rsidRPr="00FA0BEF">
        <w:rPr>
          <w:rFonts w:ascii="Times New Roman" w:hAnsi="Times New Roman" w:cs="Times New Roman"/>
          <w:sz w:val="24"/>
          <w:szCs w:val="24"/>
        </w:rPr>
        <w:t xml:space="preserve"> </w:t>
      </w:r>
      <w:sdt>
        <w:sdtPr>
          <w:rPr>
            <w:rFonts w:ascii="Times New Roman" w:hAnsi="Times New Roman" w:cs="Times New Roman"/>
            <w:sz w:val="24"/>
            <w:szCs w:val="24"/>
          </w:rPr>
          <w:id w:val="354419793"/>
          <w:citation/>
        </w:sdtPr>
        <w:sdtEndPr/>
        <w:sdtContent>
          <w:r w:rsidR="00DD1C37" w:rsidRPr="00FA0BEF">
            <w:rPr>
              <w:rFonts w:ascii="Times New Roman" w:hAnsi="Times New Roman" w:cs="Times New Roman"/>
              <w:sz w:val="24"/>
              <w:szCs w:val="24"/>
            </w:rPr>
            <w:fldChar w:fldCharType="begin"/>
          </w:r>
          <w:r w:rsidR="004D1FB2" w:rsidRPr="00FA0BEF">
            <w:rPr>
              <w:rFonts w:ascii="Times New Roman" w:hAnsi="Times New Roman" w:cs="Times New Roman"/>
              <w:sz w:val="24"/>
              <w:szCs w:val="24"/>
            </w:rPr>
            <w:instrText xml:space="preserve"> CITATION Ter15 \l 1033 </w:instrText>
          </w:r>
          <w:r w:rsidR="00DD1C37" w:rsidRPr="00FA0BEF">
            <w:rPr>
              <w:rFonts w:ascii="Times New Roman" w:hAnsi="Times New Roman" w:cs="Times New Roman"/>
              <w:sz w:val="24"/>
              <w:szCs w:val="24"/>
            </w:rPr>
            <w:fldChar w:fldCharType="separate"/>
          </w:r>
          <w:r w:rsidR="004D1FB2" w:rsidRPr="00FA0BEF">
            <w:rPr>
              <w:rFonts w:ascii="Times New Roman" w:hAnsi="Times New Roman" w:cs="Times New Roman"/>
              <w:noProof/>
              <w:sz w:val="24"/>
              <w:szCs w:val="24"/>
            </w:rPr>
            <w:t>(Terrill, 2015)</w:t>
          </w:r>
          <w:r w:rsidR="00DD1C37" w:rsidRPr="00FA0BEF">
            <w:rPr>
              <w:rFonts w:ascii="Times New Roman" w:hAnsi="Times New Roman" w:cs="Times New Roman"/>
              <w:sz w:val="24"/>
              <w:szCs w:val="24"/>
            </w:rPr>
            <w:fldChar w:fldCharType="end"/>
          </w:r>
        </w:sdtContent>
      </w:sdt>
      <w:r w:rsidRPr="00FA0BEF">
        <w:rPr>
          <w:rFonts w:ascii="Times New Roman" w:hAnsi="Times New Roman" w:cs="Times New Roman"/>
          <w:sz w:val="24"/>
          <w:szCs w:val="24"/>
        </w:rPr>
        <w:t>. For one to qualify as a prosecutor in Sweden, they need to serve a trial period of between 9 and 12 months at administrative or district courts. It is also necessary for them to acquire a pass for academic coursework for an additional 15 weeks, and a mandatory two years serving at the capacity of a prosecutor' assistant. Permanent judges also require more years of academic coursework and trial period and also working as an assistant level in courts. There is a clear connection between politics and the judicial system in America, which is not as apparent in Sweden. In the United States, the state judges and district attorneys require appointment by other elected officials or winning a public vote. At the federal level, the president appoints the judges and the district attorneys, and the former requires the approval of the Senate. However, in Sweden, although the government is in charge of appointing the permanent judges, the candidates for appointment are submitted by the Judges Proposal Board</w:t>
      </w:r>
      <w:r w:rsidR="004D1FB2" w:rsidRPr="00FA0BEF">
        <w:rPr>
          <w:rFonts w:ascii="Times New Roman" w:hAnsi="Times New Roman" w:cs="Times New Roman"/>
          <w:sz w:val="24"/>
          <w:szCs w:val="24"/>
        </w:rPr>
        <w:t xml:space="preserve"> </w:t>
      </w:r>
      <w:sdt>
        <w:sdtPr>
          <w:rPr>
            <w:rFonts w:ascii="Times New Roman" w:hAnsi="Times New Roman" w:cs="Times New Roman"/>
            <w:sz w:val="24"/>
            <w:szCs w:val="24"/>
          </w:rPr>
          <w:id w:val="354419794"/>
          <w:citation/>
        </w:sdtPr>
        <w:sdtEndPr/>
        <w:sdtContent>
          <w:r w:rsidR="00DD1C37" w:rsidRPr="00FA0BEF">
            <w:rPr>
              <w:rFonts w:ascii="Times New Roman" w:hAnsi="Times New Roman" w:cs="Times New Roman"/>
              <w:sz w:val="24"/>
              <w:szCs w:val="24"/>
            </w:rPr>
            <w:fldChar w:fldCharType="begin"/>
          </w:r>
          <w:r w:rsidR="004D1FB2" w:rsidRPr="00FA0BEF">
            <w:rPr>
              <w:rFonts w:ascii="Times New Roman" w:hAnsi="Times New Roman" w:cs="Times New Roman"/>
              <w:sz w:val="24"/>
              <w:szCs w:val="24"/>
            </w:rPr>
            <w:instrText xml:space="preserve"> CITATION Tor14 \l 1033 </w:instrText>
          </w:r>
          <w:r w:rsidR="00DD1C37" w:rsidRPr="00FA0BEF">
            <w:rPr>
              <w:rFonts w:ascii="Times New Roman" w:hAnsi="Times New Roman" w:cs="Times New Roman"/>
              <w:sz w:val="24"/>
              <w:szCs w:val="24"/>
            </w:rPr>
            <w:fldChar w:fldCharType="separate"/>
          </w:r>
          <w:r w:rsidR="004D1FB2" w:rsidRPr="00FA0BEF">
            <w:rPr>
              <w:rFonts w:ascii="Times New Roman" w:hAnsi="Times New Roman" w:cs="Times New Roman"/>
              <w:noProof/>
              <w:sz w:val="24"/>
              <w:szCs w:val="24"/>
            </w:rPr>
            <w:t>(Torgils, 2014)</w:t>
          </w:r>
          <w:r w:rsidR="00DD1C37" w:rsidRPr="00FA0BEF">
            <w:rPr>
              <w:rFonts w:ascii="Times New Roman" w:hAnsi="Times New Roman" w:cs="Times New Roman"/>
              <w:sz w:val="24"/>
              <w:szCs w:val="24"/>
            </w:rPr>
            <w:fldChar w:fldCharType="end"/>
          </w:r>
        </w:sdtContent>
      </w:sdt>
      <w:r w:rsidRPr="00FA0BEF">
        <w:rPr>
          <w:rFonts w:ascii="Times New Roman" w:hAnsi="Times New Roman" w:cs="Times New Roman"/>
          <w:sz w:val="24"/>
          <w:szCs w:val="24"/>
        </w:rPr>
        <w:t xml:space="preserve">. The entire process is not political, with no ties to the political parties. </w:t>
      </w:r>
    </w:p>
    <w:p w:rsidR="008135E1" w:rsidRPr="00FA0BEF" w:rsidRDefault="008135E1" w:rsidP="00FA0BEF">
      <w:pPr>
        <w:pStyle w:val="Heading1"/>
      </w:pPr>
      <w:r w:rsidRPr="00FA0BEF">
        <w:t>Correctional System</w:t>
      </w:r>
    </w:p>
    <w:p w:rsidR="00327924" w:rsidRPr="00FA0BEF" w:rsidRDefault="00327924" w:rsidP="00FA0BEF">
      <w:pPr>
        <w:spacing w:after="0" w:line="480" w:lineRule="auto"/>
        <w:ind w:firstLine="720"/>
        <w:rPr>
          <w:rFonts w:ascii="Times New Roman" w:hAnsi="Times New Roman" w:cs="Times New Roman"/>
          <w:sz w:val="24"/>
          <w:szCs w:val="24"/>
        </w:rPr>
      </w:pPr>
      <w:r w:rsidRPr="00FA0BEF">
        <w:rPr>
          <w:rFonts w:ascii="Times New Roman" w:hAnsi="Times New Roman" w:cs="Times New Roman"/>
          <w:sz w:val="24"/>
          <w:szCs w:val="24"/>
        </w:rPr>
        <w:t xml:space="preserve">The correctional systems in both nations implement highly structured levels and layers of security. This structure ensures to segregate the inmates and offenders in terms of how dangerous they are perceived to be. Minimum security facilities host less dangerous inmates, whereas more dangerous prisoners serve their sentences in high-security facilities. Both nations also require correctional officers to be more than 18 years of age and have completed high school education. </w:t>
      </w:r>
      <w:r w:rsidRPr="00FA0BEF">
        <w:rPr>
          <w:rFonts w:ascii="Times New Roman" w:hAnsi="Times New Roman" w:cs="Times New Roman"/>
          <w:sz w:val="24"/>
          <w:szCs w:val="24"/>
        </w:rPr>
        <w:lastRenderedPageBreak/>
        <w:t>The application requirements for the same officers are also similar to the United States and Sweden. However, in the evaluation of training charged for the officers, those in Sweden average between 11 to 14 weeks more of training.</w:t>
      </w:r>
    </w:p>
    <w:p w:rsidR="00327924" w:rsidRPr="00FA0BEF" w:rsidRDefault="00327924" w:rsidP="00FA0BEF">
      <w:pPr>
        <w:spacing w:after="0" w:line="480" w:lineRule="auto"/>
        <w:ind w:firstLine="720"/>
        <w:rPr>
          <w:rFonts w:ascii="Times New Roman" w:hAnsi="Times New Roman" w:cs="Times New Roman"/>
          <w:sz w:val="24"/>
          <w:szCs w:val="24"/>
        </w:rPr>
      </w:pPr>
      <w:r w:rsidRPr="00FA0BEF">
        <w:rPr>
          <w:rFonts w:ascii="Times New Roman" w:hAnsi="Times New Roman" w:cs="Times New Roman"/>
          <w:sz w:val="24"/>
          <w:szCs w:val="24"/>
        </w:rPr>
        <w:t>The prison facilities in both Sweden and America implement programs that aim at reducing recidivism. However, the same programs are more available in the Swedish correctional systems than they are in those in America. The percentage of inmates addicted to drugs and alcohol are similar in both correctional systems. America records that the population faced with addiction is 67% and 58% of inmates in jails and state prisoners, whose statistics are similar to those in Sweden. However, the prison treatment protocols are more frequent in the Swedish systems than those in the United States for qualified inmates</w:t>
      </w:r>
      <w:r w:rsidR="004D1FB2" w:rsidRPr="00FA0BEF">
        <w:rPr>
          <w:rFonts w:ascii="Times New Roman" w:hAnsi="Times New Roman" w:cs="Times New Roman"/>
          <w:sz w:val="24"/>
          <w:szCs w:val="24"/>
        </w:rPr>
        <w:t xml:space="preserve"> </w:t>
      </w:r>
      <w:sdt>
        <w:sdtPr>
          <w:rPr>
            <w:rFonts w:ascii="Times New Roman" w:hAnsi="Times New Roman" w:cs="Times New Roman"/>
            <w:sz w:val="24"/>
            <w:szCs w:val="24"/>
          </w:rPr>
          <w:id w:val="354419795"/>
          <w:citation/>
        </w:sdtPr>
        <w:sdtEndPr/>
        <w:sdtContent>
          <w:r w:rsidR="00DD1C37" w:rsidRPr="00FA0BEF">
            <w:rPr>
              <w:rFonts w:ascii="Times New Roman" w:hAnsi="Times New Roman" w:cs="Times New Roman"/>
              <w:sz w:val="24"/>
              <w:szCs w:val="24"/>
            </w:rPr>
            <w:fldChar w:fldCharType="begin"/>
          </w:r>
          <w:r w:rsidR="004D1FB2" w:rsidRPr="00FA0BEF">
            <w:rPr>
              <w:rFonts w:ascii="Times New Roman" w:hAnsi="Times New Roman" w:cs="Times New Roman"/>
              <w:sz w:val="24"/>
              <w:szCs w:val="24"/>
            </w:rPr>
            <w:instrText xml:space="preserve"> CITATION Wal16 \l 1033 </w:instrText>
          </w:r>
          <w:r w:rsidR="00DD1C37" w:rsidRPr="00FA0BEF">
            <w:rPr>
              <w:rFonts w:ascii="Times New Roman" w:hAnsi="Times New Roman" w:cs="Times New Roman"/>
              <w:sz w:val="24"/>
              <w:szCs w:val="24"/>
            </w:rPr>
            <w:fldChar w:fldCharType="separate"/>
          </w:r>
          <w:r w:rsidR="004D1FB2" w:rsidRPr="00FA0BEF">
            <w:rPr>
              <w:rFonts w:ascii="Times New Roman" w:hAnsi="Times New Roman" w:cs="Times New Roman"/>
              <w:noProof/>
              <w:sz w:val="24"/>
              <w:szCs w:val="24"/>
            </w:rPr>
            <w:t>(Walsh &amp; Hemmens, 2016)</w:t>
          </w:r>
          <w:r w:rsidR="00DD1C37" w:rsidRPr="00FA0BEF">
            <w:rPr>
              <w:rFonts w:ascii="Times New Roman" w:hAnsi="Times New Roman" w:cs="Times New Roman"/>
              <w:sz w:val="24"/>
              <w:szCs w:val="24"/>
            </w:rPr>
            <w:fldChar w:fldCharType="end"/>
          </w:r>
        </w:sdtContent>
      </w:sdt>
      <w:r w:rsidRPr="00FA0BEF">
        <w:rPr>
          <w:rFonts w:ascii="Times New Roman" w:hAnsi="Times New Roman" w:cs="Times New Roman"/>
          <w:sz w:val="24"/>
          <w:szCs w:val="24"/>
        </w:rPr>
        <w:t xml:space="preserve">. Out of the qualified inmates, an average of 25% has access to substance abuse treatment in the United States, whereas, from data collected in 2016, Sweden grants 42% of its inmates have access to addiction treatment. </w:t>
      </w:r>
    </w:p>
    <w:p w:rsidR="00327924" w:rsidRPr="00FA0BEF" w:rsidRDefault="00327924" w:rsidP="00FA0BEF">
      <w:pPr>
        <w:spacing w:after="0" w:line="480" w:lineRule="auto"/>
        <w:ind w:firstLine="720"/>
        <w:rPr>
          <w:rFonts w:ascii="Times New Roman" w:hAnsi="Times New Roman" w:cs="Times New Roman"/>
          <w:sz w:val="24"/>
          <w:szCs w:val="24"/>
        </w:rPr>
      </w:pPr>
      <w:r w:rsidRPr="00FA0BEF">
        <w:rPr>
          <w:rFonts w:ascii="Times New Roman" w:hAnsi="Times New Roman" w:cs="Times New Roman"/>
          <w:sz w:val="24"/>
          <w:szCs w:val="24"/>
        </w:rPr>
        <w:t xml:space="preserve">There is a significant difference in the living conditions for the correctional facilities. In Sweden, the amenities of the prisons system were keen on the creation of a humane environment and rehabilitation. The focus in these prisons is a healthy environment that they perceive as essential in changing the lives of the inmates and reduce the rates of institutionalism. The traits of a naturalized prison experience include; voting from within the prisons, allowed to dress in their clothing, cooking their foods, and planning grocery shopping lists. The Swedish Prison and Probation Service is the body charged with instilling humane environments. The initiative of the service is the removal of all degrading living conditions. The necessity for removing these conditions emanates from the evidence that proves such practices are beneficial for both the staff and inmates in the long haul. Poor living conditions are prevalent in the penal model of prison </w:t>
      </w:r>
      <w:r w:rsidRPr="00FA0BEF">
        <w:rPr>
          <w:rFonts w:ascii="Times New Roman" w:hAnsi="Times New Roman" w:cs="Times New Roman"/>
          <w:sz w:val="24"/>
          <w:szCs w:val="24"/>
        </w:rPr>
        <w:lastRenderedPageBreak/>
        <w:t xml:space="preserve">systems for the incarceration facilities in the United States. The penal model in the United States highlights an inhumane system. The characteristic traits include as little to no privacy, vandal-resistant metal furniture, cell caged with bars, concrete walls and armed guards. The institutions are overcrowded, with poor living conditions that are out of the control of the inmates, which foster violence and the rates of reoffending. The inhumane penal environments prove detrimental to both the guards and the inmates, which highlight the expected behavior of the inmates. </w:t>
      </w:r>
    </w:p>
    <w:p w:rsidR="00814BDA" w:rsidRDefault="00A758B8" w:rsidP="00814BDA">
      <w:pPr>
        <w:spacing w:after="0" w:line="480" w:lineRule="auto"/>
        <w:ind w:firstLine="720"/>
        <w:rPr>
          <w:rFonts w:ascii="Times New Roman" w:hAnsi="Times New Roman" w:cs="Times New Roman"/>
          <w:sz w:val="24"/>
          <w:szCs w:val="24"/>
        </w:rPr>
      </w:pPr>
      <w:r w:rsidRPr="00FA0BEF">
        <w:rPr>
          <w:rFonts w:ascii="Times New Roman" w:hAnsi="Times New Roman" w:cs="Times New Roman"/>
          <w:sz w:val="24"/>
          <w:szCs w:val="24"/>
        </w:rPr>
        <w:t xml:space="preserve">The differences in criminal justice systems have a significant influence on the effectiveness of both systems. It is possible to ascertain the reasons why despite America constituting only a 4.4 percentile of the global population, their prison system averages 22% of the people in prisons in the world. The population is higher than that of Sweden with the year 2014, reporting an average of 1 prisoner for every 204 civilians, as compared to Sweden's ratio of 1 for every 2,278. Another significant inference is that the figure for Sweden prison population is gradually declining, and so are the recidivism rates. The decline in both statistics is easing up more space, unlike the crowding that is evident in the American systems. </w:t>
      </w:r>
    </w:p>
    <w:p w:rsidR="00944EDA" w:rsidRPr="00814BDA" w:rsidRDefault="00944EDA" w:rsidP="00814BDA">
      <w:pPr>
        <w:spacing w:after="0" w:line="480" w:lineRule="auto"/>
        <w:ind w:firstLine="720"/>
        <w:rPr>
          <w:rFonts w:ascii="Times New Roman" w:hAnsi="Times New Roman" w:cs="Times New Roman"/>
          <w:b/>
          <w:sz w:val="24"/>
        </w:rPr>
      </w:pPr>
      <w:r w:rsidRPr="00814BDA">
        <w:rPr>
          <w:rFonts w:ascii="Times New Roman" w:hAnsi="Times New Roman" w:cs="Times New Roman"/>
          <w:b/>
          <w:sz w:val="24"/>
        </w:rPr>
        <w:t>Conclusion</w:t>
      </w:r>
    </w:p>
    <w:p w:rsidR="00C075B7" w:rsidRPr="00FA0BEF" w:rsidRDefault="00A758B8" w:rsidP="00FA0BEF">
      <w:pPr>
        <w:spacing w:after="0" w:line="480" w:lineRule="auto"/>
        <w:ind w:firstLine="720"/>
        <w:rPr>
          <w:rFonts w:ascii="Times New Roman" w:hAnsi="Times New Roman" w:cs="Times New Roman"/>
          <w:sz w:val="24"/>
          <w:szCs w:val="24"/>
        </w:rPr>
      </w:pPr>
      <w:r w:rsidRPr="00FA0BEF">
        <w:rPr>
          <w:rFonts w:ascii="Times New Roman" w:hAnsi="Times New Roman" w:cs="Times New Roman"/>
          <w:sz w:val="24"/>
          <w:szCs w:val="24"/>
        </w:rPr>
        <w:t xml:space="preserve">The assessment </w:t>
      </w:r>
      <w:r w:rsidR="00944EDA" w:rsidRPr="00FA0BEF">
        <w:rPr>
          <w:rFonts w:ascii="Times New Roman" w:hAnsi="Times New Roman" w:cs="Times New Roman"/>
          <w:sz w:val="24"/>
          <w:szCs w:val="24"/>
        </w:rPr>
        <w:t>of the criminal justice systems in the two nations</w:t>
      </w:r>
      <w:r w:rsidRPr="00FA0BEF">
        <w:rPr>
          <w:rFonts w:ascii="Times New Roman" w:hAnsi="Times New Roman" w:cs="Times New Roman"/>
          <w:sz w:val="24"/>
          <w:szCs w:val="24"/>
        </w:rPr>
        <w:t xml:space="preserve"> provides ground to evaluate the difference in </w:t>
      </w:r>
      <w:bookmarkStart w:id="0" w:name="_GoBack"/>
      <w:bookmarkEnd w:id="0"/>
      <w:r w:rsidRPr="00FA0BEF">
        <w:rPr>
          <w:rFonts w:ascii="Times New Roman" w:hAnsi="Times New Roman" w:cs="Times New Roman"/>
          <w:sz w:val="24"/>
          <w:szCs w:val="24"/>
        </w:rPr>
        <w:t xml:space="preserve">the crime statistics where the rates for the United States reflect poorly and are higher than those of Sweden in every category. </w:t>
      </w:r>
      <w:r w:rsidR="00944EDA" w:rsidRPr="00FA0BEF">
        <w:rPr>
          <w:rFonts w:ascii="Times New Roman" w:hAnsi="Times New Roman" w:cs="Times New Roman"/>
          <w:sz w:val="24"/>
          <w:szCs w:val="24"/>
        </w:rPr>
        <w:t xml:space="preserve">The efficiency of the system also comes into play by evaluation of impacts of the different practices observed on crime. </w:t>
      </w:r>
      <w:r w:rsidRPr="00FA0BEF">
        <w:rPr>
          <w:rFonts w:ascii="Times New Roman" w:hAnsi="Times New Roman" w:cs="Times New Roman"/>
          <w:sz w:val="24"/>
          <w:szCs w:val="24"/>
        </w:rPr>
        <w:t>Therefore, the structural formation and foundation of the criminal justice system are highly influential in their performance, effectiveness and efficiency.</w:t>
      </w:r>
    </w:p>
    <w:p w:rsidR="00AD27A8" w:rsidRPr="00FA0BEF" w:rsidRDefault="00C075B7" w:rsidP="00FA0BEF">
      <w:pPr>
        <w:pStyle w:val="Bibliography"/>
        <w:tabs>
          <w:tab w:val="center" w:pos="4680"/>
        </w:tabs>
        <w:spacing w:after="0" w:line="480" w:lineRule="auto"/>
        <w:ind w:left="4680" w:hanging="4680"/>
        <w:jc w:val="center"/>
        <w:rPr>
          <w:rFonts w:ascii="Times New Roman" w:hAnsi="Times New Roman" w:cs="Times New Roman"/>
          <w:b/>
          <w:sz w:val="24"/>
          <w:szCs w:val="24"/>
        </w:rPr>
      </w:pPr>
      <w:r w:rsidRPr="00FA0BEF">
        <w:rPr>
          <w:rFonts w:ascii="Times New Roman" w:hAnsi="Times New Roman" w:cs="Times New Roman"/>
          <w:sz w:val="24"/>
          <w:szCs w:val="24"/>
        </w:rPr>
        <w:br w:type="page"/>
      </w:r>
      <w:r w:rsidR="00AD27A8" w:rsidRPr="00FA0BEF">
        <w:rPr>
          <w:rFonts w:ascii="Times New Roman" w:hAnsi="Times New Roman" w:cs="Times New Roman"/>
          <w:b/>
          <w:sz w:val="24"/>
          <w:szCs w:val="24"/>
        </w:rPr>
        <w:lastRenderedPageBreak/>
        <w:t>References</w:t>
      </w:r>
    </w:p>
    <w:p w:rsidR="00D31B29" w:rsidRPr="00FA0BEF" w:rsidRDefault="00AD27A8" w:rsidP="00FA0BEF">
      <w:pPr>
        <w:spacing w:after="0" w:line="480" w:lineRule="auto"/>
        <w:ind w:left="720" w:hanging="720"/>
        <w:rPr>
          <w:rFonts w:ascii="Times New Roman" w:hAnsi="Times New Roman" w:cs="Times New Roman"/>
          <w:sz w:val="24"/>
          <w:szCs w:val="24"/>
        </w:rPr>
      </w:pPr>
      <w:r w:rsidRPr="00FA0BEF">
        <w:rPr>
          <w:rFonts w:ascii="Times New Roman" w:hAnsi="Times New Roman" w:cs="Times New Roman"/>
          <w:sz w:val="24"/>
          <w:szCs w:val="24"/>
        </w:rPr>
        <w:t>Dammer, H. R., &amp; Albanese, J. S. (2013). </w:t>
      </w:r>
      <w:r w:rsidRPr="00FA0BEF">
        <w:rPr>
          <w:rFonts w:ascii="Times New Roman" w:hAnsi="Times New Roman" w:cs="Times New Roman"/>
          <w:i/>
          <w:iCs/>
          <w:sz w:val="24"/>
          <w:szCs w:val="24"/>
        </w:rPr>
        <w:t>Comparative criminal justice systems</w:t>
      </w:r>
      <w:r w:rsidRPr="00FA0BEF">
        <w:rPr>
          <w:rFonts w:ascii="Times New Roman" w:hAnsi="Times New Roman" w:cs="Times New Roman"/>
          <w:sz w:val="24"/>
          <w:szCs w:val="24"/>
        </w:rPr>
        <w:t>. Cengage Learning.</w:t>
      </w:r>
    </w:p>
    <w:sdt>
      <w:sdtPr>
        <w:rPr>
          <w:rFonts w:ascii="Times New Roman" w:hAnsi="Times New Roman" w:cs="Times New Roman"/>
          <w:sz w:val="24"/>
          <w:szCs w:val="24"/>
        </w:rPr>
        <w:id w:val="111145805"/>
        <w:bibliography/>
      </w:sdtPr>
      <w:sdtEndPr/>
      <w:sdtContent>
        <w:p w:rsidR="00D31B29" w:rsidRPr="00FA0BEF" w:rsidRDefault="00D31B29" w:rsidP="00FA0BEF">
          <w:pPr>
            <w:spacing w:after="0" w:line="480" w:lineRule="auto"/>
            <w:ind w:left="720" w:hanging="720"/>
            <w:rPr>
              <w:rFonts w:ascii="Times New Roman" w:hAnsi="Times New Roman" w:cs="Times New Roman"/>
              <w:sz w:val="24"/>
              <w:szCs w:val="24"/>
            </w:rPr>
          </w:pPr>
          <w:r w:rsidRPr="00FA0BEF">
            <w:rPr>
              <w:rFonts w:ascii="Times New Roman" w:hAnsi="Times New Roman" w:cs="Times New Roman"/>
              <w:sz w:val="24"/>
              <w:szCs w:val="24"/>
            </w:rPr>
            <w:t xml:space="preserve">Green, B. A. (2013). The right to plea bargain with competent counsel after Cooper and Frye: Is the Supreme Court making the ordinary criminal process “too long, too expensive, and unpredictable…in pursuit of perfect justice”? </w:t>
          </w:r>
          <w:r w:rsidRPr="00FA0BEF">
            <w:rPr>
              <w:rFonts w:ascii="Times New Roman" w:hAnsi="Times New Roman" w:cs="Times New Roman"/>
              <w:i/>
              <w:iCs/>
              <w:sz w:val="24"/>
              <w:szCs w:val="24"/>
            </w:rPr>
            <w:t xml:space="preserve">Dusquesne Law Review , 51 </w:t>
          </w:r>
          <w:r w:rsidRPr="00FA0BEF">
            <w:rPr>
              <w:rFonts w:ascii="Times New Roman" w:hAnsi="Times New Roman" w:cs="Times New Roman"/>
              <w:sz w:val="24"/>
              <w:szCs w:val="24"/>
            </w:rPr>
            <w:t xml:space="preserve">(735), 735-766. </w:t>
          </w:r>
        </w:p>
        <w:p w:rsidR="00D31B29" w:rsidRPr="00FA0BEF" w:rsidRDefault="00D31B29" w:rsidP="00FA0BEF">
          <w:pPr>
            <w:spacing w:after="0" w:line="480" w:lineRule="auto"/>
            <w:ind w:left="720" w:hanging="720"/>
            <w:rPr>
              <w:rFonts w:ascii="Times New Roman" w:hAnsi="Times New Roman" w:cs="Times New Roman"/>
              <w:sz w:val="24"/>
              <w:szCs w:val="24"/>
            </w:rPr>
          </w:pPr>
          <w:r w:rsidRPr="00FA0BEF">
            <w:rPr>
              <w:rFonts w:ascii="Times New Roman" w:hAnsi="Times New Roman" w:cs="Times New Roman"/>
              <w:sz w:val="24"/>
              <w:szCs w:val="24"/>
            </w:rPr>
            <w:t xml:space="preserve">Hedstrom, J. (2018). The American and Swedish Criminal Justice. </w:t>
          </w:r>
          <w:r w:rsidRPr="00FA0BEF">
            <w:rPr>
              <w:rFonts w:ascii="Times New Roman" w:hAnsi="Times New Roman" w:cs="Times New Roman"/>
              <w:i/>
              <w:iCs/>
              <w:sz w:val="24"/>
              <w:szCs w:val="24"/>
            </w:rPr>
            <w:t>EAst Tennessee State University; Theses and Dissertation</w:t>
          </w:r>
          <w:r w:rsidRPr="00FA0BEF">
            <w:rPr>
              <w:rFonts w:ascii="Times New Roman" w:hAnsi="Times New Roman" w:cs="Times New Roman"/>
              <w:sz w:val="24"/>
              <w:szCs w:val="24"/>
            </w:rPr>
            <w:t>.</w:t>
          </w:r>
        </w:p>
        <w:p w:rsidR="00D31B29" w:rsidRPr="00FA0BEF" w:rsidRDefault="00D31B29" w:rsidP="00FA0BEF">
          <w:pPr>
            <w:spacing w:after="0" w:line="480" w:lineRule="auto"/>
            <w:ind w:left="720" w:hanging="720"/>
            <w:rPr>
              <w:rFonts w:ascii="Times New Roman" w:hAnsi="Times New Roman" w:cs="Times New Roman"/>
              <w:sz w:val="24"/>
              <w:szCs w:val="24"/>
            </w:rPr>
          </w:pPr>
          <w:r w:rsidRPr="00FA0BEF">
            <w:rPr>
              <w:rFonts w:ascii="Times New Roman" w:hAnsi="Times New Roman" w:cs="Times New Roman"/>
              <w:sz w:val="24"/>
              <w:szCs w:val="24"/>
            </w:rPr>
            <w:t xml:space="preserve">Terrill, R. J. (2015). </w:t>
          </w:r>
          <w:r w:rsidRPr="00FA0BEF">
            <w:rPr>
              <w:rFonts w:ascii="Times New Roman" w:hAnsi="Times New Roman" w:cs="Times New Roman"/>
              <w:i/>
              <w:iCs/>
              <w:sz w:val="24"/>
              <w:szCs w:val="24"/>
            </w:rPr>
            <w:t xml:space="preserve">World criminal justice systems: A comparative survey. </w:t>
          </w:r>
          <w:r w:rsidRPr="00FA0BEF">
            <w:rPr>
              <w:rFonts w:ascii="Times New Roman" w:hAnsi="Times New Roman" w:cs="Times New Roman"/>
              <w:sz w:val="24"/>
              <w:szCs w:val="24"/>
            </w:rPr>
            <w:t>Waltham, MA: Routledge.</w:t>
          </w:r>
        </w:p>
        <w:p w:rsidR="004C13C4" w:rsidRPr="00FA0BEF" w:rsidRDefault="00D31B29" w:rsidP="00FA0BEF">
          <w:pPr>
            <w:spacing w:after="0" w:line="480" w:lineRule="auto"/>
            <w:ind w:left="720" w:hanging="720"/>
            <w:rPr>
              <w:rFonts w:ascii="Times New Roman" w:hAnsi="Times New Roman" w:cs="Times New Roman"/>
              <w:sz w:val="24"/>
              <w:szCs w:val="24"/>
            </w:rPr>
          </w:pPr>
          <w:r w:rsidRPr="00FA0BEF">
            <w:rPr>
              <w:rFonts w:ascii="Times New Roman" w:hAnsi="Times New Roman" w:cs="Times New Roman"/>
              <w:sz w:val="24"/>
              <w:szCs w:val="24"/>
            </w:rPr>
            <w:t xml:space="preserve">Torgils, F. (2014). </w:t>
          </w:r>
          <w:r w:rsidRPr="00FA0BEF">
            <w:rPr>
              <w:rFonts w:ascii="Times New Roman" w:hAnsi="Times New Roman" w:cs="Times New Roman"/>
              <w:i/>
              <w:iCs/>
              <w:sz w:val="24"/>
              <w:szCs w:val="24"/>
            </w:rPr>
            <w:t xml:space="preserve">Det fantastiska fasansfulla rånet. </w:t>
          </w:r>
          <w:r w:rsidRPr="00FA0BEF">
            <w:rPr>
              <w:rFonts w:ascii="Times New Roman" w:hAnsi="Times New Roman" w:cs="Times New Roman"/>
              <w:sz w:val="24"/>
              <w:szCs w:val="24"/>
            </w:rPr>
            <w:t xml:space="preserve">Retrieved July 24, 2019, from Kriminologiska Institutionen. : </w:t>
          </w:r>
          <w:hyperlink r:id="rId7" w:history="1">
            <w:r w:rsidR="004C13C4" w:rsidRPr="00FA0BEF">
              <w:rPr>
                <w:rStyle w:val="Hyperlink"/>
                <w:rFonts w:ascii="Times New Roman" w:hAnsi="Times New Roman" w:cs="Times New Roman"/>
                <w:color w:val="auto"/>
                <w:sz w:val="24"/>
                <w:szCs w:val="24"/>
              </w:rPr>
              <w:t>http://www.criminology.su.se/polopoly_fs/1.208492.1414510888!/menu/standard/file/2014c_Torgils-Frida.pdf</w:t>
            </w:r>
          </w:hyperlink>
        </w:p>
        <w:p w:rsidR="00AD27A8" w:rsidRPr="00FA0BEF" w:rsidRDefault="00D31B29" w:rsidP="00FA0BEF">
          <w:pPr>
            <w:spacing w:after="0" w:line="480" w:lineRule="auto"/>
            <w:ind w:left="720" w:hanging="720"/>
            <w:rPr>
              <w:rFonts w:ascii="Times New Roman" w:hAnsi="Times New Roman" w:cs="Times New Roman"/>
              <w:sz w:val="24"/>
              <w:szCs w:val="24"/>
            </w:rPr>
          </w:pPr>
          <w:r w:rsidRPr="00FA0BEF">
            <w:rPr>
              <w:rFonts w:ascii="Times New Roman" w:hAnsi="Times New Roman" w:cs="Times New Roman"/>
              <w:sz w:val="24"/>
              <w:szCs w:val="24"/>
            </w:rPr>
            <w:t xml:space="preserve">Walsh, A., &amp; Hemmens, C. (2016). </w:t>
          </w:r>
          <w:r w:rsidRPr="00FA0BEF">
            <w:rPr>
              <w:rFonts w:ascii="Times New Roman" w:hAnsi="Times New Roman" w:cs="Times New Roman"/>
              <w:i/>
              <w:iCs/>
              <w:sz w:val="24"/>
              <w:szCs w:val="24"/>
            </w:rPr>
            <w:t xml:space="preserve">Law, justice, and society: A sociolegal introduction. </w:t>
          </w:r>
          <w:r w:rsidRPr="00FA0BEF">
            <w:rPr>
              <w:rFonts w:ascii="Times New Roman" w:hAnsi="Times New Roman" w:cs="Times New Roman"/>
              <w:sz w:val="24"/>
              <w:szCs w:val="24"/>
            </w:rPr>
            <w:t>(4th ed.). Oxford, England: Oxford University Press.</w:t>
          </w:r>
        </w:p>
      </w:sdtContent>
    </w:sdt>
    <w:sectPr w:rsidR="00AD27A8" w:rsidRPr="00FA0BEF" w:rsidSect="00C075B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5A63" w:rsidRDefault="00185A63" w:rsidP="00C075B7">
      <w:pPr>
        <w:spacing w:after="0" w:line="240" w:lineRule="auto"/>
      </w:pPr>
      <w:r>
        <w:separator/>
      </w:r>
    </w:p>
  </w:endnote>
  <w:endnote w:type="continuationSeparator" w:id="0">
    <w:p w:rsidR="00185A63" w:rsidRDefault="00185A63" w:rsidP="00C075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5A63" w:rsidRDefault="00185A63" w:rsidP="00C075B7">
      <w:pPr>
        <w:spacing w:after="0" w:line="240" w:lineRule="auto"/>
      </w:pPr>
      <w:r>
        <w:separator/>
      </w:r>
    </w:p>
  </w:footnote>
  <w:footnote w:type="continuationSeparator" w:id="0">
    <w:p w:rsidR="00185A63" w:rsidRDefault="00185A63" w:rsidP="00C075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75B7" w:rsidRPr="00C075B7" w:rsidRDefault="00C075B7">
    <w:pPr>
      <w:pStyle w:val="Header"/>
      <w:jc w:val="right"/>
      <w:rPr>
        <w:rFonts w:ascii="Times New Roman" w:hAnsi="Times New Roman" w:cs="Times New Roman"/>
        <w:sz w:val="24"/>
      </w:rPr>
    </w:pPr>
    <w:r w:rsidRPr="00C075B7">
      <w:rPr>
        <w:rFonts w:ascii="Times New Roman" w:hAnsi="Times New Roman" w:cs="Times New Roman"/>
        <w:sz w:val="24"/>
      </w:rPr>
      <w:t>CRIMINAL JUSTICE SYSTEM IN AMERICA AND SWEDEN</w:t>
    </w:r>
    <w:r w:rsidRPr="00C075B7">
      <w:rPr>
        <w:rFonts w:ascii="Times New Roman" w:hAnsi="Times New Roman" w:cs="Times New Roman"/>
        <w:sz w:val="24"/>
      </w:rPr>
      <w:tab/>
    </w:r>
    <w:sdt>
      <w:sdtPr>
        <w:rPr>
          <w:rFonts w:ascii="Times New Roman" w:hAnsi="Times New Roman" w:cs="Times New Roman"/>
          <w:sz w:val="24"/>
        </w:rPr>
        <w:id w:val="343103881"/>
        <w:docPartObj>
          <w:docPartGallery w:val="Page Numbers (Top of Page)"/>
          <w:docPartUnique/>
        </w:docPartObj>
      </w:sdtPr>
      <w:sdtEndPr/>
      <w:sdtContent>
        <w:r w:rsidR="00DD1C37" w:rsidRPr="00C075B7">
          <w:rPr>
            <w:rFonts w:ascii="Times New Roman" w:hAnsi="Times New Roman" w:cs="Times New Roman"/>
            <w:sz w:val="24"/>
          </w:rPr>
          <w:fldChar w:fldCharType="begin"/>
        </w:r>
        <w:r w:rsidRPr="00C075B7">
          <w:rPr>
            <w:rFonts w:ascii="Times New Roman" w:hAnsi="Times New Roman" w:cs="Times New Roman"/>
            <w:sz w:val="24"/>
          </w:rPr>
          <w:instrText xml:space="preserve"> PAGE   \* MERGEFORMAT </w:instrText>
        </w:r>
        <w:r w:rsidR="00DD1C37" w:rsidRPr="00C075B7">
          <w:rPr>
            <w:rFonts w:ascii="Times New Roman" w:hAnsi="Times New Roman" w:cs="Times New Roman"/>
            <w:sz w:val="24"/>
          </w:rPr>
          <w:fldChar w:fldCharType="separate"/>
        </w:r>
        <w:r w:rsidR="002D75E8">
          <w:rPr>
            <w:rFonts w:ascii="Times New Roman" w:hAnsi="Times New Roman" w:cs="Times New Roman"/>
            <w:noProof/>
            <w:sz w:val="24"/>
          </w:rPr>
          <w:t>8</w:t>
        </w:r>
        <w:r w:rsidR="00DD1C37" w:rsidRPr="00C075B7">
          <w:rPr>
            <w:rFonts w:ascii="Times New Roman" w:hAnsi="Times New Roman" w:cs="Times New Roman"/>
            <w:sz w:val="24"/>
          </w:rPr>
          <w:fldChar w:fldCharType="end"/>
        </w:r>
      </w:sdtContent>
    </w:sdt>
  </w:p>
  <w:p w:rsidR="00C075B7" w:rsidRPr="00C075B7" w:rsidRDefault="00C075B7">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75B7" w:rsidRPr="00C075B7" w:rsidRDefault="00C075B7">
    <w:pPr>
      <w:pStyle w:val="Header"/>
      <w:jc w:val="right"/>
      <w:rPr>
        <w:rFonts w:ascii="Times New Roman" w:hAnsi="Times New Roman" w:cs="Times New Roman"/>
        <w:sz w:val="24"/>
      </w:rPr>
    </w:pPr>
    <w:r w:rsidRPr="00C075B7">
      <w:rPr>
        <w:rFonts w:ascii="Times New Roman" w:hAnsi="Times New Roman" w:cs="Times New Roman"/>
        <w:sz w:val="24"/>
      </w:rPr>
      <w:t xml:space="preserve">Running Head: CRIMINAL JUSTICE SYSTEM IN AMERICA AND SWEDEN </w:t>
    </w:r>
    <w:r w:rsidRPr="00C075B7">
      <w:rPr>
        <w:rFonts w:ascii="Times New Roman" w:hAnsi="Times New Roman" w:cs="Times New Roman"/>
        <w:sz w:val="24"/>
      </w:rPr>
      <w:tab/>
    </w:r>
    <w:sdt>
      <w:sdtPr>
        <w:rPr>
          <w:rFonts w:ascii="Times New Roman" w:hAnsi="Times New Roman" w:cs="Times New Roman"/>
          <w:sz w:val="24"/>
        </w:rPr>
        <w:id w:val="343103956"/>
        <w:docPartObj>
          <w:docPartGallery w:val="Page Numbers (Top of Page)"/>
          <w:docPartUnique/>
        </w:docPartObj>
      </w:sdtPr>
      <w:sdtEndPr/>
      <w:sdtContent>
        <w:r w:rsidR="00DD1C37" w:rsidRPr="00C075B7">
          <w:rPr>
            <w:rFonts w:ascii="Times New Roman" w:hAnsi="Times New Roman" w:cs="Times New Roman"/>
            <w:sz w:val="24"/>
          </w:rPr>
          <w:fldChar w:fldCharType="begin"/>
        </w:r>
        <w:r w:rsidRPr="00C075B7">
          <w:rPr>
            <w:rFonts w:ascii="Times New Roman" w:hAnsi="Times New Roman" w:cs="Times New Roman"/>
            <w:sz w:val="24"/>
          </w:rPr>
          <w:instrText xml:space="preserve"> PAGE   \* MERGEFORMAT </w:instrText>
        </w:r>
        <w:r w:rsidR="00DD1C37" w:rsidRPr="00C075B7">
          <w:rPr>
            <w:rFonts w:ascii="Times New Roman" w:hAnsi="Times New Roman" w:cs="Times New Roman"/>
            <w:sz w:val="24"/>
          </w:rPr>
          <w:fldChar w:fldCharType="separate"/>
        </w:r>
        <w:r w:rsidR="00535A4E">
          <w:rPr>
            <w:rFonts w:ascii="Times New Roman" w:hAnsi="Times New Roman" w:cs="Times New Roman"/>
            <w:noProof/>
            <w:sz w:val="24"/>
          </w:rPr>
          <w:t>1</w:t>
        </w:r>
        <w:r w:rsidR="00DD1C37" w:rsidRPr="00C075B7">
          <w:rPr>
            <w:rFonts w:ascii="Times New Roman" w:hAnsi="Times New Roman" w:cs="Times New Roman"/>
            <w:sz w:val="24"/>
          </w:rPr>
          <w:fldChar w:fldCharType="end"/>
        </w:r>
      </w:sdtContent>
    </w:sdt>
  </w:p>
  <w:p w:rsidR="00C075B7" w:rsidRPr="00C075B7" w:rsidRDefault="00C075B7">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A21"/>
    <w:rsid w:val="00030E4C"/>
    <w:rsid w:val="000E68FB"/>
    <w:rsid w:val="00185A63"/>
    <w:rsid w:val="00235318"/>
    <w:rsid w:val="00252B17"/>
    <w:rsid w:val="002A4BA5"/>
    <w:rsid w:val="002D75E8"/>
    <w:rsid w:val="00311E42"/>
    <w:rsid w:val="00320FC9"/>
    <w:rsid w:val="00327924"/>
    <w:rsid w:val="004923EC"/>
    <w:rsid w:val="004C13C4"/>
    <w:rsid w:val="004D1FB2"/>
    <w:rsid w:val="00535A4E"/>
    <w:rsid w:val="0053650A"/>
    <w:rsid w:val="00541751"/>
    <w:rsid w:val="00557F46"/>
    <w:rsid w:val="006122DC"/>
    <w:rsid w:val="006B79C7"/>
    <w:rsid w:val="006F427A"/>
    <w:rsid w:val="00737408"/>
    <w:rsid w:val="008135E1"/>
    <w:rsid w:val="00814BDA"/>
    <w:rsid w:val="008355B8"/>
    <w:rsid w:val="008C1E5F"/>
    <w:rsid w:val="00944EDA"/>
    <w:rsid w:val="00A02447"/>
    <w:rsid w:val="00A758B8"/>
    <w:rsid w:val="00AD27A8"/>
    <w:rsid w:val="00AE4DA4"/>
    <w:rsid w:val="00AF1B3F"/>
    <w:rsid w:val="00B348E4"/>
    <w:rsid w:val="00B70633"/>
    <w:rsid w:val="00B9336E"/>
    <w:rsid w:val="00BD1B51"/>
    <w:rsid w:val="00C0217B"/>
    <w:rsid w:val="00C075B7"/>
    <w:rsid w:val="00C838BF"/>
    <w:rsid w:val="00D16191"/>
    <w:rsid w:val="00D31B29"/>
    <w:rsid w:val="00DD1C37"/>
    <w:rsid w:val="00E04A21"/>
    <w:rsid w:val="00FA0BEF"/>
    <w:rsid w:val="00FC32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5A0C07-8934-43A1-9EDB-D3331BA67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0633"/>
  </w:style>
  <w:style w:type="paragraph" w:styleId="Heading1">
    <w:name w:val="heading 1"/>
    <w:basedOn w:val="Normal"/>
    <w:next w:val="Normal"/>
    <w:link w:val="Heading1Char"/>
    <w:uiPriority w:val="9"/>
    <w:qFormat/>
    <w:rsid w:val="00FA0BEF"/>
    <w:pPr>
      <w:keepNext/>
      <w:keepLines/>
      <w:spacing w:before="480" w:after="0" w:line="480" w:lineRule="auto"/>
      <w:jc w:val="center"/>
      <w:outlineLvl w:val="0"/>
    </w:pPr>
    <w:rPr>
      <w:rFonts w:ascii="Times New Roman" w:eastAsiaTheme="majorEastAsia" w:hAnsi="Times New Roman" w:cstheme="majorBidi"/>
      <w:b/>
      <w:bCs/>
      <w:sz w:val="24"/>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0BEF"/>
    <w:rPr>
      <w:rFonts w:ascii="Times New Roman" w:eastAsiaTheme="majorEastAsia" w:hAnsi="Times New Roman" w:cstheme="majorBidi"/>
      <w:b/>
      <w:bCs/>
      <w:sz w:val="24"/>
      <w:szCs w:val="28"/>
      <w:lang w:bidi="en-US"/>
    </w:rPr>
  </w:style>
  <w:style w:type="paragraph" w:styleId="Bibliography">
    <w:name w:val="Bibliography"/>
    <w:basedOn w:val="Normal"/>
    <w:next w:val="Normal"/>
    <w:uiPriority w:val="37"/>
    <w:unhideWhenUsed/>
    <w:rsid w:val="00C075B7"/>
  </w:style>
  <w:style w:type="paragraph" w:styleId="BalloonText">
    <w:name w:val="Balloon Text"/>
    <w:basedOn w:val="Normal"/>
    <w:link w:val="BalloonTextChar"/>
    <w:uiPriority w:val="99"/>
    <w:semiHidden/>
    <w:unhideWhenUsed/>
    <w:rsid w:val="00C075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5B7"/>
    <w:rPr>
      <w:rFonts w:ascii="Tahoma" w:hAnsi="Tahoma" w:cs="Tahoma"/>
      <w:sz w:val="16"/>
      <w:szCs w:val="16"/>
    </w:rPr>
  </w:style>
  <w:style w:type="paragraph" w:styleId="Header">
    <w:name w:val="header"/>
    <w:basedOn w:val="Normal"/>
    <w:link w:val="HeaderChar"/>
    <w:uiPriority w:val="99"/>
    <w:unhideWhenUsed/>
    <w:rsid w:val="00C075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5B7"/>
  </w:style>
  <w:style w:type="paragraph" w:styleId="Footer">
    <w:name w:val="footer"/>
    <w:basedOn w:val="Normal"/>
    <w:link w:val="FooterChar"/>
    <w:uiPriority w:val="99"/>
    <w:semiHidden/>
    <w:unhideWhenUsed/>
    <w:rsid w:val="00C075B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075B7"/>
  </w:style>
  <w:style w:type="paragraph" w:customStyle="1" w:styleId="Default">
    <w:name w:val="Default"/>
    <w:rsid w:val="00D31B29"/>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4C13C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5196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riminology.su.se/polopoly_fs/1.208492.1414510888!/menu/standard/file/2014c_Torgils-Frida.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Hed18</b:Tag>
    <b:SourceType>JournalArticle</b:SourceType>
    <b:Guid>{74A60D23-5E0C-4EFA-A453-AB1A92E71CA4}</b:Guid>
    <b:Author>
      <b:Author>
        <b:NameList>
          <b:Person>
            <b:Last>Hedstrom</b:Last>
            <b:First>Josefin</b:First>
          </b:Person>
        </b:NameList>
      </b:Author>
    </b:Author>
    <b:Title>The American and Swedish Criminal Justice</b:Title>
    <b:JournalName>EAst Tennessee State University; Theses and Dissertations</b:JournalName>
    <b:Year>2018</b:Year>
    <b:RefOrder>1</b:RefOrder>
  </b:Source>
  <b:Source>
    <b:Tag>Wal16</b:Tag>
    <b:SourceType>Book</b:SourceType>
    <b:Guid>{D75C8701-5E9C-415D-B860-CDA4A8F0E06E}</b:Guid>
    <b:Author>
      <b:Author>
        <b:NameList>
          <b:Person>
            <b:Last>Walsh</b:Last>
            <b:First>Anthony</b:First>
          </b:Person>
          <b:Person>
            <b:Last>Hemmens</b:Last>
            <b:First>Craig</b:First>
          </b:Person>
        </b:NameList>
      </b:Author>
    </b:Author>
    <b:Title>Law, justice, and society: A sociolegal introduction.</b:Title>
    <b:Year>2016</b:Year>
    <b:City>Oxford, England</b:City>
    <b:Publisher>Oxford University Press</b:Publisher>
    <b:Edition>4th</b:Edition>
    <b:RefOrder>5</b:RefOrder>
  </b:Source>
  <b:Source>
    <b:Tag>Gre131</b:Tag>
    <b:SourceType>JournalArticle</b:SourceType>
    <b:Guid>{3669A013-33B4-4FE8-A75A-5FAB16CD27EA}</b:Guid>
    <b:Author>
      <b:Author>
        <b:NameList>
          <b:Person>
            <b:Last>Green</b:Last>
            <b:First>B.</b:First>
            <b:Middle>A.</b:Middle>
          </b:Person>
        </b:NameList>
      </b:Author>
    </b:Author>
    <b:Title>The right to plea bargain with competent counsel after Cooper and Frye: Is the Supreme Court making the ordinary criminal process “too long, too expensive, and unpredictable…in pursuit of perfect justice”?</b:Title>
    <b:Year>2013</b:Year>
    <b:JournalName>Dusquesne Law Review</b:JournalName>
    <b:Pages>735-766</b:Pages>
    <b:Volume>51</b:Volume>
    <b:Issue>735</b:Issue>
    <b:RefOrder>2</b:RefOrder>
  </b:Source>
  <b:Source>
    <b:Tag>Ter15</b:Tag>
    <b:SourceType>Book</b:SourceType>
    <b:Guid>{9ECC6985-2600-49B9-B811-9F9C6A6D16AA}</b:Guid>
    <b:Author>
      <b:Author>
        <b:NameList>
          <b:Person>
            <b:Last>Terrill</b:Last>
            <b:First>Richard</b:First>
            <b:Middle>J.</b:Middle>
          </b:Person>
        </b:NameList>
      </b:Author>
    </b:Author>
    <b:Title>World criminal justice systems: A comparative survey.</b:Title>
    <b:Year>2015</b:Year>
    <b:City>Waltham, MA</b:City>
    <b:Publisher>Routledge</b:Publisher>
    <b:RefOrder>3</b:RefOrder>
  </b:Source>
  <b:Source>
    <b:Tag>Tor14</b:Tag>
    <b:SourceType>InternetSite</b:SourceType>
    <b:Guid>{0C3BFCDD-4826-474B-A8D6-29CA9ECD2A90}</b:Guid>
    <b:Author>
      <b:Author>
        <b:NameList>
          <b:Person>
            <b:Last>Torgils</b:Last>
            <b:First>F.</b:First>
          </b:Person>
        </b:NameList>
      </b:Author>
    </b:Author>
    <b:Title>Det fantastiska fasansfulla rånet.</b:Title>
    <b:Year>2014</b:Year>
    <b:JournalName>Kriminologiska Institutionen. </b:JournalName>
    <b:InternetSiteTitle>Kriminologiska Institutionen. </b:InternetSiteTitle>
    <b:YearAccessed>2019</b:YearAccessed>
    <b:MonthAccessed>July</b:MonthAccessed>
    <b:DayAccessed>24</b:DayAccessed>
    <b:URL>http://www.criminology.su.se/polopoly_fs/1.208492.1414510888!/menu/standard/file/2014c_Torgils-Frida.pdf</b:URL>
    <b:RefOrder>4</b:RefOrder>
  </b:Source>
</b:Sources>
</file>

<file path=customXml/itemProps1.xml><?xml version="1.0" encoding="utf-8"?>
<ds:datastoreItem xmlns:ds="http://schemas.openxmlformats.org/officeDocument/2006/customXml" ds:itemID="{6536FD3A-C47A-4D35-88DC-4BF04B8AA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1769</Words>
  <Characters>10087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2019-07-25T16:28:00Z</dcterms:created>
  <dcterms:modified xsi:type="dcterms:W3CDTF">2019-07-25T16:28:00Z</dcterms:modified>
</cp:coreProperties>
</file>